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Los grandes riesgos económicos dominan las preocupaciones </w:t>
        <w:br w:type="textWrapping"/>
        <w:t xml:space="preserve">a corto plazo de los líderes de negocios del G20</w:t>
      </w:r>
    </w:p>
    <w:p w:rsidR="00000000" w:rsidDel="00000000" w:rsidP="00000000" w:rsidRDefault="00000000" w:rsidRPr="00000000" w14:paraId="00000002">
      <w:pPr>
        <w:numPr>
          <w:ilvl w:val="0"/>
          <w:numId w:val="1"/>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Los riesgos ambientales van detrás de las amenazas económicas y sociales</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Ciudad de México, 15 de noviembre de 2023</w:t>
      </w:r>
      <w:r w:rsidDel="00000000" w:rsidR="00000000" w:rsidRPr="00000000">
        <w:rPr>
          <w:rFonts w:ascii="Arial" w:cs="Arial" w:eastAsia="Arial" w:hAnsi="Arial"/>
          <w:sz w:val="20"/>
          <w:szCs w:val="20"/>
          <w:rtl w:val="0"/>
        </w:rPr>
        <w:t xml:space="preserve"> – Según nuevos datos del Foro Económico Mundial, las amenazas económicas y sociales (como la recesión económica, la inflación y la erosión de la cohesión social) se encuentran entre los mayores riesgos para los países del G20 en los próximos dos años, según una encuesta a líderes de negocios a nivel mundial.</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Encuesta de Opinión Ejecutiva recopiló las opiniones de más de 11.000 líderes de negocios en más de 110 países entre abril y agosto de 2023. La encuesta de este año destaca cómo, incluso antes del conflicto actual en Oriente Medio, los riesgos económicos y sociales cada vez más interconectados se percibían como las mayores preocupaciones en los países del G20 en un contexto de crecientes tensiones políticas globales y entornos inflacionarios persistentes en muchas de las principales economías.</w:t>
      </w:r>
    </w:p>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Sufrir una recesión económica fue considerado el riesgo más citado por los líderes de negocios del G20</w:t>
      </w:r>
      <w:r w:rsidDel="00000000" w:rsidR="00000000" w:rsidRPr="00000000">
        <w:rPr>
          <w:vertAlign w:val="superscript"/>
        </w:rPr>
        <w:footnoteReference w:customMarkFollows="0" w:id="0"/>
      </w:r>
      <w:r w:rsidDel="00000000" w:rsidR="00000000" w:rsidRPr="00000000">
        <w:rPr>
          <w:rFonts w:ascii="Arial" w:cs="Arial" w:eastAsia="Arial" w:hAnsi="Arial"/>
          <w:sz w:val="20"/>
          <w:szCs w:val="20"/>
          <w:rtl w:val="0"/>
        </w:rPr>
        <w:t xml:space="preserve"> y fue identificado como el principal riesgo en 13 de los países del G20. La inflación, la escasez de mano de obra y/o talento, la escasez de suministro de energía y la erosión de la cohesión social y el bienestar también se identificaron entre los cinco principales riesgos para los países del G20 a corto plazo.</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Mientras los países del G20 se preparan para la COP28 de Dubai en un año donde las temperaturas globales han batido récords y ha habido eventos climáticos severos, los riesgos ambientales han sido superados por otras preocupaciones en los resultados de este año. Igual que el año anterior, los riesgos ambientales, como los fenómenos meteorológicos extremos y la falta de adaptación al cambio climático, fueron citados sólo ocho veces entre los cinco principales riesgos en los países del G20. Los riesgos tecnológicos, incluidas las amenazas relacionadas con la inteligencia artificial, aparecen sólo tres veces en las cinco primeras clasificaciones del G20. A grandes rasgos, los hallazgos ponen de manifiesto preocupaciones sorprendentemente comunes entre las economías avanzadas y los mercados emergentes. Una “recesión económica” fue clasificada como el riesgo principal en todas las regiones, mientras que los “fenómenos climáticos extremos” son el único riesgo ambiental que se ubicó entre los 10 principales en todas las regiones de ingresos altos, medianos altos, medianos bajos y bajos.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Peter Giger, Director de Riesgos del Grupo Zurich, añadió: "Los riesgos a corto plazo, como los económicos y los relacionados con el mercado laboral, están a la orden del día a nivel mundial. Es importante que las empresas respondan a estos retos manteniendo una perspectiva equilibrada de los riesgos a corto y largo plazo. Las empresas pueden pensar que tienen poco control sobre amenazas existenciales como el cambio climático. Sin embargo, es fundamental que exploren formas de mitigar estos riesgos al mismo tiempo que responden a los retos inmediatos."</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Carolina Klint, Directora Comercial para Europa de Marsh McLennan, afirmó: “Los graves riesgos económicos y sociales siguen preocupando a los líderes de negocios del G20 a corto plazo. Si bien abordan correctamente estas preocupaciones inmediatas, también deben ser conscientes de que, al pasar por alto importantes riesgos tecnológicos, podrían dejar a sus organizaciones vulnerables a amenazas cibernéticas y relacionadas con la IA cada vez más sofisticadas y que pueden afectar profundamente su prosperidad y a las comunidades en las que se encuentran. "</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Encuesta de Opinión Ejecutiva ha sido realizada por el Centro para la Nueva Economía y Sociedad del Foro Económico Mundial. Marsh McLennan y Zurich Insurance Group son socios del Centro y de la serie Global Risks Report. </w:t>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jc w:val="both"/>
        <w:rPr>
          <w:rFonts w:ascii="Zurich Sans" w:cs="Zurich Sans" w:eastAsia="Zurich Sans" w:hAnsi="Zurich Sans"/>
          <w:color w:val="000000"/>
          <w:sz w:val="16"/>
          <w:szCs w:val="16"/>
        </w:rPr>
      </w:pPr>
      <w:r w:rsidDel="00000000" w:rsidR="00000000" w:rsidRPr="00000000">
        <w:rPr>
          <w:rFonts w:ascii="Zurich Sans" w:cs="Zurich Sans" w:eastAsia="Zurich Sans" w:hAnsi="Zurich Sans"/>
          <w:b w:val="1"/>
          <w:color w:val="000000"/>
          <w:sz w:val="16"/>
          <w:szCs w:val="16"/>
          <w:rtl w:val="0"/>
        </w:rPr>
        <w:t xml:space="preserve">Zurich Insurance Group (Zurich)</w:t>
      </w:r>
      <w:r w:rsidDel="00000000" w:rsidR="00000000" w:rsidRPr="00000000">
        <w:rPr>
          <w:rFonts w:ascii="Zurich Sans" w:cs="Zurich Sans" w:eastAsia="Zurich Sans" w:hAnsi="Zurich Sans"/>
          <w:color w:val="000000"/>
          <w:sz w:val="16"/>
          <w:szCs w:val="16"/>
          <w:rtl w:val="0"/>
        </w:rPr>
        <w:t xml:space="preserve"> es una aseguradora líder multicanal que atiende tanto a personas como a empresas, en más de 200 países y territorios. Fundada hace 150 años, Zurich está transformando los seguros. Además de ofrecer protección de seguros, Zurich ofrece cada vez más servicios de prevención, como aquellos que promueven el bienestar y mejoran la resiliencia climática.</w:t>
      </w:r>
    </w:p>
    <w:p w:rsidR="00000000" w:rsidDel="00000000" w:rsidP="00000000" w:rsidRDefault="00000000" w:rsidRPr="00000000" w14:paraId="0000000F">
      <w:pPr>
        <w:jc w:val="both"/>
        <w:rPr>
          <w:rFonts w:ascii="Zurich Sans" w:cs="Zurich Sans" w:eastAsia="Zurich Sans" w:hAnsi="Zurich Sans"/>
          <w:color w:val="000000"/>
          <w:sz w:val="16"/>
          <w:szCs w:val="16"/>
        </w:rPr>
      </w:pPr>
      <w:r w:rsidDel="00000000" w:rsidR="00000000" w:rsidRPr="00000000">
        <w:rPr>
          <w:rFonts w:ascii="Zurich Sans" w:cs="Zurich Sans" w:eastAsia="Zurich Sans" w:hAnsi="Zurich Sans"/>
          <w:color w:val="000000"/>
          <w:sz w:val="16"/>
          <w:szCs w:val="16"/>
          <w:rtl w:val="0"/>
        </w:rPr>
        <w:t xml:space="preserve">Reflejando su propósito de “crear juntos un futuro mejor”, Zurich aspira a ser una de las empresas más responsables y de mayor impacto en el mundo. Tiene como objetivo emisiones netas cero para 2050, y tiene la calificación ESG más alta posible de MSCI. En 2020, Zurich lanzó el proyecto Zurich Forest para apoyar la reforestación y la restauración de la biodiversidad en Brasil.</w:t>
      </w:r>
    </w:p>
    <w:p w:rsidR="00000000" w:rsidDel="00000000" w:rsidP="00000000" w:rsidRDefault="00000000" w:rsidRPr="00000000" w14:paraId="00000010">
      <w:pPr>
        <w:jc w:val="both"/>
        <w:rPr>
          <w:rFonts w:ascii="Zurich Sans" w:cs="Zurich Sans" w:eastAsia="Zurich Sans" w:hAnsi="Zurich Sans"/>
          <w:color w:val="000000"/>
          <w:sz w:val="16"/>
          <w:szCs w:val="16"/>
        </w:rPr>
      </w:pPr>
      <w:r w:rsidDel="00000000" w:rsidR="00000000" w:rsidRPr="00000000">
        <w:rPr>
          <w:rFonts w:ascii="Zurich Sans" w:cs="Zurich Sans" w:eastAsia="Zurich Sans" w:hAnsi="Zurich Sans"/>
          <w:color w:val="000000"/>
          <w:sz w:val="16"/>
          <w:szCs w:val="16"/>
          <w:rtl w:val="0"/>
        </w:rPr>
        <w:t xml:space="preserve">El Grupo Zurich tiene alrededor de 60.000 empleados y tiene su sede en Zurich, Suiza. Zurich Insurance Group Ltd (ZURN), cotiza en SIX Swiss Exchange y tiene un programa de Recibo de depósito estadounidense (ZURVY) de nivel I, que se negocia extrabursátil en OTCQX. Más información disponible en </w:t>
      </w:r>
      <w:hyperlink r:id="rId8">
        <w:r w:rsidDel="00000000" w:rsidR="00000000" w:rsidRPr="00000000">
          <w:rPr>
            <w:rFonts w:ascii="Zurich Sans" w:cs="Zurich Sans" w:eastAsia="Zurich Sans" w:hAnsi="Zurich Sans"/>
            <w:color w:val="0563c1"/>
            <w:sz w:val="16"/>
            <w:szCs w:val="16"/>
            <w:u w:val="single"/>
            <w:rtl w:val="0"/>
          </w:rPr>
          <w:t xml:space="preserve">www.zurich.com</w:t>
        </w:r>
      </w:hyperlink>
      <w:r w:rsidDel="00000000" w:rsidR="00000000" w:rsidRPr="00000000">
        <w:rPr>
          <w:rFonts w:ascii="Zurich Sans" w:cs="Zurich Sans" w:eastAsia="Zurich Sans" w:hAnsi="Zurich Sans"/>
          <w:color w:val="000000"/>
          <w:sz w:val="16"/>
          <w:szCs w:val="16"/>
          <w:rtl w:val="0"/>
        </w:rPr>
        <w:t xml:space="preserve">.  </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sectPr>
      <w:headerReference r:id="rId9"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Zurich San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0202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202020"/>
          <w:sz w:val="20"/>
          <w:szCs w:val="20"/>
          <w:u w:val="none"/>
          <w:shd w:fill="auto" w:val="clear"/>
          <w:vertAlign w:val="baseline"/>
          <w:rtl w:val="0"/>
        </w:rPr>
        <w:t xml:space="preserve">Excluyendo a China y Rusia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2576513" cy="60647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76513" cy="6064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152613"/>
    <w:pPr>
      <w:spacing w:after="0" w:line="240" w:lineRule="auto"/>
    </w:pPr>
    <w:rPr>
      <w:rFonts w:ascii="Arial" w:cs="Arial" w:eastAsia="Times New Roman" w:hAnsi="Arial"/>
      <w:color w:val="202020"/>
      <w:sz w:val="20"/>
      <w:szCs w:val="20"/>
      <w:lang w:val="en-US"/>
    </w:rPr>
  </w:style>
  <w:style w:type="character" w:styleId="FootnoteTextChar" w:customStyle="1">
    <w:name w:val="Footnote Text Char"/>
    <w:basedOn w:val="DefaultParagraphFont"/>
    <w:link w:val="FootnoteText"/>
    <w:uiPriority w:val="99"/>
    <w:semiHidden w:val="1"/>
    <w:rsid w:val="00152613"/>
    <w:rPr>
      <w:rFonts w:ascii="Arial" w:cs="Arial" w:eastAsia="Times New Roman" w:hAnsi="Arial"/>
      <w:color w:val="202020"/>
      <w:sz w:val="20"/>
      <w:szCs w:val="20"/>
      <w:lang w:val="en-US"/>
    </w:rPr>
  </w:style>
  <w:style w:type="character" w:styleId="FootnoteReference">
    <w:name w:val="footnote reference"/>
    <w:basedOn w:val="DefaultParagraphFont"/>
    <w:uiPriority w:val="99"/>
    <w:semiHidden w:val="1"/>
    <w:unhideWhenUsed w:val="1"/>
    <w:rsid w:val="00152613"/>
    <w:rPr>
      <w:vertAlign w:val="superscript"/>
    </w:rPr>
  </w:style>
  <w:style w:type="paragraph" w:styleId="Revision">
    <w:name w:val="Revision"/>
    <w:hidden w:val="1"/>
    <w:uiPriority w:val="99"/>
    <w:semiHidden w:val="1"/>
    <w:rsid w:val="00230636"/>
    <w:pPr>
      <w:spacing w:after="0" w:line="240" w:lineRule="auto"/>
    </w:pPr>
  </w:style>
  <w:style w:type="character" w:styleId="Hyperlink">
    <w:name w:val="Hyperlink"/>
    <w:basedOn w:val="DefaultParagraphFont"/>
    <w:uiPriority w:val="99"/>
    <w:unhideWhenUsed w:val="1"/>
    <w:rsid w:val="00285EE2"/>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zur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7Adlp/eDM9V9egOEytaczuAgA==">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2023-11-13T17:25:00Z</dcterms:created>
  <dc:creator>Joan Giralt Cano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0x0101003D2A4DA387977C4DA49C356A1340177F</vt:lpwstr>
  </property>
  <property fmtid="{D5CDD505-2E9C-101B-9397-08002B2CF9AE}" pid="3" name="MSIP_Label_9a7ed875-cb67-40d7-9ea6-a804b08b1148_Enabled">
    <vt:lpwstr>true</vt:lpwstr>
  </property>
  <property fmtid="{D5CDD505-2E9C-101B-9397-08002B2CF9AE}" pid="4" name="MSIP_Label_9a7ed875-cb67-40d7-9ea6-a804b08b1148_SetDate">
    <vt:lpwstr>2023-11-13T11:53:39Z</vt:lpwstr>
  </property>
  <property fmtid="{D5CDD505-2E9C-101B-9397-08002B2CF9AE}" pid="5" name="MSIP_Label_9a7ed875-cb67-40d7-9ea6-a804b08b1148_Method">
    <vt:lpwstr>Privileged</vt:lpwstr>
  </property>
  <property fmtid="{D5CDD505-2E9C-101B-9397-08002B2CF9AE}" pid="6" name="MSIP_Label_9a7ed875-cb67-40d7-9ea6-a804b08b1148_Name">
    <vt:lpwstr>9a7ed875-cb67-40d7-9ea6-a804b08b1148</vt:lpwstr>
  </property>
  <property fmtid="{D5CDD505-2E9C-101B-9397-08002B2CF9AE}" pid="7" name="MSIP_Label_9a7ed875-cb67-40d7-9ea6-a804b08b1148_SiteId">
    <vt:lpwstr>473672ba-cd07-4371-a2ae-788b4c61840e</vt:lpwstr>
  </property>
  <property fmtid="{D5CDD505-2E9C-101B-9397-08002B2CF9AE}" pid="8" name="MSIP_Label_9a7ed875-cb67-40d7-9ea6-a804b08b1148_ActionId">
    <vt:lpwstr>ab03e0a5-4dd9-4069-b7a5-58be8662ff2f</vt:lpwstr>
  </property>
  <property fmtid="{D5CDD505-2E9C-101B-9397-08002B2CF9AE}" pid="9" name="MSIP_Label_9a7ed875-cb67-40d7-9ea6-a804b08b1148_ContentBits">
    <vt:lpwstr>0</vt:lpwstr>
  </property>
  <property fmtid="{D5CDD505-2E9C-101B-9397-08002B2CF9AE}" pid="10" name="MediaServiceImageTags">
    <vt:lpwstr/>
  </property>
</Properties>
</file>